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3BE6" w14:textId="77777777" w:rsidR="007E761D" w:rsidRDefault="00007FBB" w:rsidP="007A5842">
      <w:pPr>
        <w:pStyle w:val="1"/>
      </w:pPr>
      <w:bookmarkStart w:id="0" w:name="bookmark0"/>
      <w:r>
        <w:t>Запрещено продавать несовершеннолетним потенциально опасные товары бытового назначения</w:t>
      </w:r>
      <w:bookmarkEnd w:id="0"/>
    </w:p>
    <w:p w14:paraId="0DFBD7A0" w14:textId="77777777" w:rsidR="007E761D" w:rsidRDefault="00007FBB">
      <w:pPr>
        <w:pStyle w:val="13"/>
        <w:spacing w:line="259" w:lineRule="auto"/>
        <w:ind w:firstLine="720"/>
      </w:pPr>
      <w:r>
        <w:rPr>
          <w:color w:val="000000"/>
        </w:rPr>
        <w:t>Законом Кировской области от 04.03.2021 № 452-30 «О некоторых мерах по обеспечению прав детей на охрану здоровья» введен запрет розничной продажи несовершеннолетним потенциально опасных товаров бытового назначения, содержащих сжиженные углеводородные газы; автомобильного бензина (за исключением розничной продажи автомобильного бензина при заправке топливного бака транспортного средства лицам, достигшим шестнадцатилетнего возраста, имеющим право на управление транспортным средством); лакокрасочных материалов.</w:t>
      </w:r>
    </w:p>
    <w:p w14:paraId="118BCC46" w14:textId="7C7E895E" w:rsidR="007E761D" w:rsidRDefault="00007FBB">
      <w:pPr>
        <w:pStyle w:val="13"/>
        <w:spacing w:line="259" w:lineRule="auto"/>
        <w:ind w:firstLine="560"/>
      </w:pPr>
      <w:r>
        <w:rPr>
          <w:color w:val="000000"/>
        </w:rPr>
        <w:t xml:space="preserve">Под потенциально опасными товарами бытового назначения, содержащими сжиженные углеводородные </w:t>
      </w:r>
      <w:r w:rsidR="007A5842">
        <w:t>газы</w:t>
      </w:r>
      <w:r>
        <w:rPr>
          <w:color w:val="000000"/>
        </w:rPr>
        <w:t>, понимаются зажигалки, в которых имеется контейнер со сжиженным углеводородным газом, заправочные баллоны любой емкости, содержащие сжиженный углеводородный газ, используемые для работы бытовых приборов (в том числе туристских плит), заправки зажигалок;</w:t>
      </w:r>
    </w:p>
    <w:p w14:paraId="3B286748" w14:textId="77777777" w:rsidR="007E761D" w:rsidRDefault="00007FBB">
      <w:pPr>
        <w:pStyle w:val="13"/>
        <w:spacing w:line="259" w:lineRule="auto"/>
        <w:ind w:firstLine="560"/>
      </w:pPr>
      <w:r>
        <w:rPr>
          <w:color w:val="000000"/>
        </w:rPr>
        <w:t>Под безалкогольными тонизирующими напитками понимаются безалкогольные напитки, содержащие кофеин и (или) другие тонизирующие компоненты в количестве, достаточном для обеспечения тонизирующего эффекта на организм человека, за исключением чая, кофе, безалкогольных напитков на основе чайных и кофейных экстрактов;</w:t>
      </w:r>
    </w:p>
    <w:p w14:paraId="180F046F" w14:textId="77777777" w:rsidR="007E761D" w:rsidRDefault="00007FBB">
      <w:pPr>
        <w:pStyle w:val="13"/>
        <w:spacing w:line="259" w:lineRule="auto"/>
        <w:ind w:firstLine="560"/>
      </w:pPr>
      <w:r>
        <w:rPr>
          <w:color w:val="000000"/>
        </w:rPr>
        <w:t>Под лакокрасочными материалами понимаются упакованные в потребительскую тару органические растворители, лаки, краски, эмали, за исключением лакокрасочных материалов на водно-дисперсионной основе и порошковых, предназначенные для розничной торговли.</w:t>
      </w:r>
    </w:p>
    <w:p w14:paraId="1329D08C" w14:textId="77777777" w:rsidR="007E761D" w:rsidRDefault="00007FBB">
      <w:pPr>
        <w:pStyle w:val="13"/>
        <w:spacing w:line="259" w:lineRule="auto"/>
        <w:ind w:firstLine="560"/>
      </w:pPr>
      <w:r>
        <w:rPr>
          <w:color w:val="000000"/>
        </w:rPr>
        <w:t>Статьей 4.13 Закона Кировской области от 04.12.2007 № 200-30 «Об административной ответственности в Кировской области» предусмотрена административная ответственность за нарушение установленного законом области запрета продажи несовершеннолетним отдельных видов товаров, предусмотренных Законом Кировской области "О некоторых мерах по обеспечению прав детей на охрану здоровья", влечет наложение административного штрафа на должностных лиц в размере от двух тысяч рублей до четырех тысяч рублей; на юридических лиц - от двадцати тысяч рублей до пятидесяти тысяч рублей.</w:t>
      </w:r>
    </w:p>
    <w:p w14:paraId="46324381" w14:textId="77777777" w:rsidR="007E761D" w:rsidRDefault="00007FBB">
      <w:pPr>
        <w:pStyle w:val="13"/>
        <w:spacing w:line="259" w:lineRule="auto"/>
        <w:ind w:firstLine="720"/>
      </w:pPr>
      <w:r>
        <w:rPr>
          <w:color w:val="000000"/>
        </w:rPr>
        <w:t>Правом составления протоколов об административных правонарушениях за нарушение требований Закона в данной части наделяются должностные лица администраций муниципальных образований, главы администраций муниципальных образований и их заместители.</w:t>
      </w:r>
    </w:p>
    <w:p w14:paraId="115491FE" w14:textId="77777777" w:rsidR="007E761D" w:rsidRDefault="00007FBB">
      <w:pPr>
        <w:pStyle w:val="13"/>
        <w:spacing w:line="259" w:lineRule="auto"/>
        <w:ind w:firstLine="720"/>
      </w:pPr>
      <w:r>
        <w:rPr>
          <w:color w:val="000000"/>
        </w:rPr>
        <w:t>В связи с чем информацию о фактах розничной продажи потенциально опасных товаров бытового назначения необходимо сообщать в администрации поселений и района.</w:t>
      </w:r>
    </w:p>
    <w:p w14:paraId="555CE41D" w14:textId="77777777" w:rsidR="00FF7D16" w:rsidRDefault="00FF7D16" w:rsidP="007A5842">
      <w:pPr>
        <w:pStyle w:val="1"/>
      </w:pPr>
      <w:bookmarkStart w:id="1" w:name="bookmark2"/>
    </w:p>
    <w:p w14:paraId="49CA2389" w14:textId="77777777" w:rsidR="00FF7D16" w:rsidRDefault="00FF7D16" w:rsidP="00FF7D16">
      <w:pPr>
        <w:pStyle w:val="1"/>
        <w:spacing w:before="0" w:after="0"/>
      </w:pPr>
    </w:p>
    <w:p w14:paraId="424F4145" w14:textId="4AB2D60A" w:rsidR="007E761D" w:rsidRDefault="00007FBB" w:rsidP="00FF7D16">
      <w:pPr>
        <w:pStyle w:val="1"/>
        <w:spacing w:before="0" w:after="0"/>
      </w:pPr>
      <w:r>
        <w:t>Ответственность работодателя за невыдачу работникам</w:t>
      </w:r>
      <w:bookmarkEnd w:id="1"/>
      <w:r w:rsidR="007A5842">
        <w:t xml:space="preserve"> </w:t>
      </w:r>
      <w:r>
        <w:t>расчетных листков</w:t>
      </w:r>
    </w:p>
    <w:p w14:paraId="7587D971" w14:textId="77777777" w:rsidR="007E761D" w:rsidRDefault="00007FBB">
      <w:pPr>
        <w:pStyle w:val="13"/>
        <w:spacing w:line="240" w:lineRule="auto"/>
        <w:ind w:firstLine="880"/>
        <w:rPr>
          <w:sz w:val="24"/>
          <w:szCs w:val="24"/>
        </w:rPr>
      </w:pPr>
      <w:r>
        <w:rPr>
          <w:color w:val="000000"/>
          <w:sz w:val="24"/>
          <w:szCs w:val="24"/>
        </w:rPr>
        <w:t>Согласно ч. 1 ст. 136 Трудового кодекса Российской Федерации при выплате заработной платы работодатель обязан извещать в письменной форме каждого работника:</w:t>
      </w:r>
    </w:p>
    <w:p w14:paraId="77ADBB09" w14:textId="77777777" w:rsidR="007E761D" w:rsidRDefault="00007FBB">
      <w:pPr>
        <w:pStyle w:val="13"/>
        <w:numPr>
          <w:ilvl w:val="0"/>
          <w:numId w:val="1"/>
        </w:numPr>
        <w:tabs>
          <w:tab w:val="left" w:pos="1191"/>
        </w:tabs>
        <w:spacing w:line="214" w:lineRule="auto"/>
        <w:ind w:firstLine="880"/>
        <w:rPr>
          <w:sz w:val="24"/>
          <w:szCs w:val="24"/>
        </w:rPr>
      </w:pPr>
      <w:r>
        <w:rPr>
          <w:color w:val="000000"/>
          <w:sz w:val="24"/>
          <w:szCs w:val="24"/>
        </w:rPr>
        <w:t>о составных частях заработной платы, причитающейся ему за соответствующий период;</w:t>
      </w:r>
    </w:p>
    <w:p w14:paraId="5EED3331" w14:textId="77777777" w:rsidR="007E761D" w:rsidRDefault="00007FBB" w:rsidP="00FF7D16">
      <w:pPr>
        <w:pStyle w:val="13"/>
        <w:numPr>
          <w:ilvl w:val="0"/>
          <w:numId w:val="1"/>
        </w:numPr>
        <w:tabs>
          <w:tab w:val="left" w:pos="1196"/>
        </w:tabs>
        <w:spacing w:after="0" w:line="240" w:lineRule="auto"/>
        <w:ind w:firstLine="880"/>
        <w:rPr>
          <w:sz w:val="24"/>
          <w:szCs w:val="24"/>
        </w:rPr>
      </w:pPr>
      <w:r>
        <w:rPr>
          <w:color w:val="000000"/>
          <w:sz w:val="24"/>
          <w:szCs w:val="24"/>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w:t>
      </w:r>
      <w:r>
        <w:rPr>
          <w:color w:val="000000"/>
          <w:sz w:val="24"/>
          <w:szCs w:val="24"/>
          <w:u w:val="single"/>
        </w:rPr>
        <w:t>ып</w:t>
      </w:r>
      <w:r>
        <w:rPr>
          <w:color w:val="000000"/>
          <w:sz w:val="24"/>
          <w:szCs w:val="24"/>
        </w:rPr>
        <w:t>лат, причитающихся работнику;</w:t>
      </w:r>
    </w:p>
    <w:p w14:paraId="4CD1C06F" w14:textId="77777777" w:rsidR="007E761D" w:rsidRDefault="00007FBB" w:rsidP="00FF7D16">
      <w:pPr>
        <w:pStyle w:val="13"/>
        <w:numPr>
          <w:ilvl w:val="0"/>
          <w:numId w:val="1"/>
        </w:numPr>
        <w:tabs>
          <w:tab w:val="left" w:pos="2008"/>
        </w:tabs>
        <w:spacing w:after="0" w:line="240" w:lineRule="auto"/>
        <w:ind w:firstLine="880"/>
        <w:rPr>
          <w:sz w:val="24"/>
          <w:szCs w:val="24"/>
        </w:rPr>
      </w:pPr>
      <w:r>
        <w:rPr>
          <w:color w:val="000000"/>
          <w:sz w:val="24"/>
          <w:szCs w:val="24"/>
        </w:rPr>
        <w:t>о размерах и об основаниях произведенных удержаний;</w:t>
      </w:r>
    </w:p>
    <w:p w14:paraId="25D02FCD" w14:textId="77777777" w:rsidR="007E761D" w:rsidRDefault="00007FBB" w:rsidP="00FF7D16">
      <w:pPr>
        <w:pStyle w:val="13"/>
        <w:numPr>
          <w:ilvl w:val="0"/>
          <w:numId w:val="1"/>
        </w:numPr>
        <w:tabs>
          <w:tab w:val="left" w:pos="2008"/>
        </w:tabs>
        <w:spacing w:after="0" w:line="240" w:lineRule="auto"/>
        <w:ind w:firstLine="880"/>
        <w:rPr>
          <w:sz w:val="24"/>
          <w:szCs w:val="24"/>
        </w:rPr>
      </w:pPr>
      <w:r>
        <w:rPr>
          <w:color w:val="000000"/>
          <w:sz w:val="24"/>
          <w:szCs w:val="24"/>
        </w:rPr>
        <w:t>об общей денежной сумме, подлежащей выплате.</w:t>
      </w:r>
    </w:p>
    <w:p w14:paraId="3EC69E45" w14:textId="77777777" w:rsidR="007E761D" w:rsidRDefault="00007FBB">
      <w:pPr>
        <w:pStyle w:val="13"/>
        <w:spacing w:line="240" w:lineRule="auto"/>
        <w:ind w:firstLine="880"/>
        <w:rPr>
          <w:sz w:val="24"/>
          <w:szCs w:val="24"/>
        </w:rPr>
      </w:pPr>
      <w:r>
        <w:rPr>
          <w:color w:val="000000"/>
          <w:sz w:val="24"/>
          <w:szCs w:val="24"/>
        </w:rPr>
        <w:t>По своему содержанию указанная норма представляет собой гарантию реализации закрепленного в статьях 2, 21, 22, 56 Трудового кодекса Российской Федерации права работника на своевременную и в полном размере выплату заработной платы, направленную на обеспечение согласования интересов сторон трудового договора при определении правил выдачи заработной платы, на создание условий беспрепятственного ее получения лично работником удобным для него способом.</w:t>
      </w:r>
    </w:p>
    <w:p w14:paraId="64B28BE4" w14:textId="77777777" w:rsidR="007E761D" w:rsidRDefault="00007FBB">
      <w:pPr>
        <w:pStyle w:val="13"/>
        <w:spacing w:line="240" w:lineRule="auto"/>
        <w:ind w:firstLine="880"/>
        <w:rPr>
          <w:sz w:val="24"/>
          <w:szCs w:val="24"/>
        </w:rPr>
      </w:pPr>
      <w:r>
        <w:rPr>
          <w:color w:val="000000"/>
          <w:sz w:val="24"/>
          <w:szCs w:val="24"/>
        </w:rPr>
        <w:t>Данная информация доводится до сведения работника посредством представления ему расчетного листа.</w:t>
      </w:r>
    </w:p>
    <w:p w14:paraId="30AD86F7" w14:textId="77777777" w:rsidR="007E761D" w:rsidRDefault="00007FBB">
      <w:pPr>
        <w:pStyle w:val="13"/>
        <w:spacing w:line="240" w:lineRule="auto"/>
        <w:ind w:firstLine="880"/>
        <w:rPr>
          <w:sz w:val="24"/>
          <w:szCs w:val="24"/>
        </w:rPr>
      </w:pPr>
      <w:r>
        <w:rPr>
          <w:color w:val="000000"/>
          <w:sz w:val="24"/>
          <w:szCs w:val="24"/>
        </w:rPr>
        <w:t>Форма расчетного листка законодательством не предусмотрена. В соответствии с ч. 2 ст. 136 Трудового Кодекса Российской Федерации она утверждается работодателем с учетом мнения представительного органа работников в порядке принятия локальных нормативных актов, установленном ст. 372 Трудового кодекса Российской Федерации.</w:t>
      </w:r>
    </w:p>
    <w:p w14:paraId="0C1F831B" w14:textId="77777777" w:rsidR="007E761D" w:rsidRDefault="00007FBB">
      <w:pPr>
        <w:pStyle w:val="13"/>
        <w:spacing w:line="240" w:lineRule="auto"/>
        <w:ind w:firstLine="880"/>
        <w:rPr>
          <w:sz w:val="24"/>
          <w:szCs w:val="24"/>
        </w:rPr>
      </w:pPr>
      <w:r>
        <w:rPr>
          <w:color w:val="000000"/>
          <w:sz w:val="24"/>
          <w:szCs w:val="24"/>
        </w:rPr>
        <w:t>Из приведенных положений трудового законодательства следует, что работодатель обязан выдавать расчетный листок, каких-либо исключений Трудовой кодекс Российской Федерации не содержит.</w:t>
      </w:r>
    </w:p>
    <w:p w14:paraId="2FF56053" w14:textId="77777777" w:rsidR="007E761D" w:rsidRDefault="00007FBB">
      <w:pPr>
        <w:pStyle w:val="13"/>
        <w:spacing w:line="240" w:lineRule="auto"/>
        <w:ind w:firstLine="880"/>
        <w:rPr>
          <w:sz w:val="24"/>
          <w:szCs w:val="24"/>
        </w:rPr>
      </w:pPr>
      <w:r>
        <w:rPr>
          <w:color w:val="000000"/>
          <w:sz w:val="24"/>
          <w:szCs w:val="24"/>
        </w:rPr>
        <w:t>Кроме того, данная обязанность работодателя установлена законодательством, в связи с чем, не может быть отменена ни по соглашению сторон, ни на основании коллективного договора.</w:t>
      </w:r>
    </w:p>
    <w:p w14:paraId="737D2EDC" w14:textId="77777777" w:rsidR="007E761D" w:rsidRDefault="00007FBB">
      <w:pPr>
        <w:pStyle w:val="13"/>
        <w:spacing w:line="240" w:lineRule="auto"/>
        <w:ind w:firstLine="880"/>
        <w:rPr>
          <w:sz w:val="24"/>
          <w:szCs w:val="24"/>
        </w:rPr>
      </w:pPr>
      <w:r>
        <w:rPr>
          <w:color w:val="000000"/>
          <w:sz w:val="24"/>
          <w:szCs w:val="24"/>
        </w:rPr>
        <w:t>Невыполнение данной обязанности рассматривается контролирующими органами как правонарушение, за которое предусмотрена ответственность по части 1 ст. 5.27 (нарушение трудового законодательства и иных нормативных правовых актов, содержащих нормы трудового права) Кодекса Российской Федерации об административных правонарушениях как должностных, так и юридических лиц.</w:t>
      </w:r>
    </w:p>
    <w:p w14:paraId="247B9E8B" w14:textId="77777777" w:rsidR="007E761D" w:rsidRDefault="00007FBB">
      <w:pPr>
        <w:pStyle w:val="13"/>
        <w:spacing w:line="240" w:lineRule="auto"/>
        <w:ind w:firstLine="880"/>
        <w:rPr>
          <w:sz w:val="24"/>
          <w:szCs w:val="24"/>
        </w:rPr>
      </w:pPr>
      <w:r>
        <w:rPr>
          <w:color w:val="000000"/>
          <w:sz w:val="24"/>
          <w:szCs w:val="24"/>
        </w:rPr>
        <w:t>В соответствии с пунктом 16 части 2 и частью 3 статьи 28.3 Кодекса Российской Федерации об административных правонарушениях (далее - Кодекс), составлять протоколы об административном правонарушении, предусмотренном статьей 5.27 КоАП РФ вправе должностные лица Федеральной службы по труду и занятости и ее территориальных органов.</w:t>
      </w:r>
    </w:p>
    <w:p w14:paraId="357DEE46" w14:textId="77777777" w:rsidR="007E761D" w:rsidRDefault="00007FBB" w:rsidP="00FF7D16">
      <w:pPr>
        <w:pStyle w:val="13"/>
        <w:spacing w:after="0" w:line="240" w:lineRule="auto"/>
        <w:ind w:firstLine="880"/>
        <w:rPr>
          <w:sz w:val="24"/>
          <w:szCs w:val="24"/>
        </w:rPr>
      </w:pPr>
      <w:r>
        <w:rPr>
          <w:color w:val="000000"/>
          <w:sz w:val="24"/>
          <w:szCs w:val="24"/>
        </w:rPr>
        <w:t>Рассмотрение дел по ч. 1 данной статьи осуществляют должностные лица федерального органа исполнительной власти, осуществляющего государственный надзор за соблюдением трудового законодательства и иных нормативных правовых актов, содержащих нормы трудового права (ст. 23.12 КоАП РФ) и судьи.</w:t>
      </w:r>
    </w:p>
    <w:p w14:paraId="3B2ABA9D" w14:textId="77777777" w:rsidR="007E761D" w:rsidRDefault="00007FBB">
      <w:pPr>
        <w:pStyle w:val="13"/>
        <w:spacing w:line="240" w:lineRule="auto"/>
        <w:ind w:firstLine="880"/>
        <w:rPr>
          <w:sz w:val="24"/>
          <w:szCs w:val="24"/>
        </w:rPr>
      </w:pPr>
      <w:r>
        <w:rPr>
          <w:color w:val="000000"/>
          <w:sz w:val="24"/>
          <w:szCs w:val="24"/>
        </w:rPr>
        <w:t>Возможность возбуждения прокурором дел об административном правонарушении по ч.1 статьи 5.27 КоАП РФ вытекает из части 1 статьи 28.4 КоАП РФ, в которой предусмотрено право прокурора возбудить дело о любом административном правонарушении при осуществлении надзора за соблюдением Конституции РФ и исполнением законов, действующих на территории России.</w:t>
      </w:r>
    </w:p>
    <w:p w14:paraId="7145E1F0" w14:textId="77777777" w:rsidR="007E761D" w:rsidRDefault="00007FBB" w:rsidP="007A5842">
      <w:pPr>
        <w:pStyle w:val="1"/>
      </w:pPr>
      <w:r>
        <w:lastRenderedPageBreak/>
        <w:t>С 8 июня 2022 года ужесточили ответственность за нарушения в области пожарной безопасности</w:t>
      </w:r>
    </w:p>
    <w:p w14:paraId="20F9AA47" w14:textId="77777777" w:rsidR="007E761D" w:rsidRDefault="007E761D"/>
    <w:p w14:paraId="25062376" w14:textId="77777777" w:rsidR="007E761D" w:rsidRDefault="00007FBB">
      <w:pPr>
        <w:pStyle w:val="13"/>
        <w:spacing w:line="259" w:lineRule="auto"/>
        <w:ind w:firstLine="740"/>
      </w:pPr>
      <w:r>
        <w:rPr>
          <w:color w:val="000000"/>
        </w:rPr>
        <w:t>Федеральным законом от 28.05.2022 № 141-ФЗ внесены изменения в Кодекс об административных правонарушениях. Согласно внесенным изменениям существенно увеличены штрафы по общей норме КоАП, а также за нарушение правил пожарной безопасности в лесах.</w:t>
      </w:r>
    </w:p>
    <w:p w14:paraId="778B2C26" w14:textId="77777777" w:rsidR="007E761D" w:rsidRDefault="00007FBB">
      <w:pPr>
        <w:pStyle w:val="13"/>
        <w:spacing w:after="320" w:line="259" w:lineRule="auto"/>
        <w:ind w:firstLine="740"/>
      </w:pPr>
      <w:r>
        <w:rPr>
          <w:color w:val="000000"/>
        </w:rPr>
        <w:t>Так, например, за нарушения, допущенные в условиях особого противопожарного режима, должностные лица заплатят от 30 тыс. до 60 тыс. руб., ИП - от 60 тыс. до 80 тыс. руб., юрлица - от 400 тыс. до 800 тыс. руб. Ранее штрафы были в 2 раза меньше.</w:t>
      </w:r>
    </w:p>
    <w:p w14:paraId="3129962E" w14:textId="77777777" w:rsidR="007E761D" w:rsidRDefault="00007FBB" w:rsidP="007A5842">
      <w:pPr>
        <w:pStyle w:val="1"/>
      </w:pPr>
      <w:bookmarkStart w:id="2" w:name="bookmark7"/>
      <w:r>
        <w:t>С 1 июня 2022 года МРОТ увеличен до 15 279 руб.</w:t>
      </w:r>
      <w:bookmarkEnd w:id="2"/>
    </w:p>
    <w:p w14:paraId="23733D9A" w14:textId="77777777" w:rsidR="007E761D" w:rsidRDefault="00007FBB">
      <w:pPr>
        <w:pStyle w:val="13"/>
        <w:spacing w:after="320" w:line="259" w:lineRule="auto"/>
        <w:ind w:firstLine="740"/>
      </w:pPr>
      <w:r>
        <w:rPr>
          <w:color w:val="000000"/>
        </w:rPr>
        <w:t>Постановлением Правительства РФ от 28.05.2022 № 973 с 01 июня 2022 года минимальный размер оплаты труда увеличен до 15279 руб. Показатель нужен работодателям для расчета ряда выплат сотрудникам: зарплат, больничных, отпускных и командировочных.</w:t>
      </w:r>
    </w:p>
    <w:p w14:paraId="170EFD16" w14:textId="77777777" w:rsidR="007E761D" w:rsidRDefault="00007FBB" w:rsidP="007A5842">
      <w:pPr>
        <w:pStyle w:val="1"/>
      </w:pPr>
      <w:r>
        <w:t>С 14 июня 2022 года расширили категории работников, при трудоустройстве которых можно получить субсидию</w:t>
      </w:r>
    </w:p>
    <w:p w14:paraId="350FFB0D" w14:textId="77777777" w:rsidR="007E761D" w:rsidRDefault="007E761D"/>
    <w:p w14:paraId="411EF531" w14:textId="77777777" w:rsidR="007E761D" w:rsidRDefault="00007FBB">
      <w:pPr>
        <w:pStyle w:val="13"/>
        <w:ind w:firstLine="740"/>
      </w:pPr>
      <w:r>
        <w:rPr>
          <w:color w:val="000000"/>
        </w:rPr>
        <w:t>Постановлением Правительства РФ от 04.06.2022 № 1021 внесены изменения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p w14:paraId="5BB13FFA" w14:textId="77777777" w:rsidR="007E761D" w:rsidRDefault="00007FBB">
      <w:pPr>
        <w:pStyle w:val="13"/>
        <w:spacing w:after="320"/>
        <w:ind w:firstLine="740"/>
      </w:pPr>
      <w:r>
        <w:rPr>
          <w:color w:val="000000"/>
        </w:rPr>
        <w:t>Теперь субсидию можно получить при найме не только отдельных категорий сотрудников до 30 лет, но и, в частности, любых работников, кто был уволен в 2022 году из-за ликвидации организации или сокращения штата, а также тех, кто находится под риском увольнения.</w:t>
      </w:r>
    </w:p>
    <w:p w14:paraId="39F0383B" w14:textId="77777777" w:rsidR="007E761D" w:rsidRDefault="00007FBB" w:rsidP="007A5842">
      <w:pPr>
        <w:pStyle w:val="1"/>
      </w:pPr>
      <w:bookmarkStart w:id="3" w:name="bookmark11"/>
      <w:r>
        <w:t>Что делать работнику при несчастном случае на производстве</w:t>
      </w:r>
      <w:bookmarkEnd w:id="3"/>
    </w:p>
    <w:p w14:paraId="4FAA042D" w14:textId="77777777" w:rsidR="007E761D" w:rsidRDefault="00007FBB">
      <w:pPr>
        <w:pStyle w:val="13"/>
        <w:spacing w:line="254" w:lineRule="auto"/>
        <w:ind w:firstLine="740"/>
      </w:pPr>
      <w:r>
        <w:rPr>
          <w:color w:val="000000"/>
        </w:rPr>
        <w:t>Работник обязан немедленно извещать непосредственного или вышестоящего руководителя о каждом известном ему несчастном случае, произошедшем на производстве. Это следует из ст. 215 ТК РФ и п. 4 Положения о расследовании несчастных случаев.</w:t>
      </w:r>
    </w:p>
    <w:p w14:paraId="486F1CE5" w14:textId="77777777" w:rsidR="007E761D" w:rsidRDefault="00007FBB">
      <w:pPr>
        <w:pStyle w:val="13"/>
        <w:spacing w:after="320" w:line="254" w:lineRule="auto"/>
        <w:ind w:firstLine="0"/>
      </w:pPr>
      <w:r>
        <w:rPr>
          <w:color w:val="000000"/>
        </w:rPr>
        <w:t>Порядок извещения работодателя законодательством не установлен. Вы можете закрепить его в локальном нормативном акте (ч. 1 ст. 22 ТК РФ). Если такой акт не принят, работник может сообщить вам о несчастном случае в любой форме.</w:t>
      </w:r>
    </w:p>
    <w:p w14:paraId="69B46244" w14:textId="77777777" w:rsidR="007E761D" w:rsidRDefault="00007FBB" w:rsidP="007A5842">
      <w:pPr>
        <w:pStyle w:val="1"/>
      </w:pPr>
      <w:r>
        <w:t>Порядок расчета неустойки по алиментам</w:t>
      </w:r>
    </w:p>
    <w:p w14:paraId="482ACC2E" w14:textId="77777777" w:rsidR="007E761D" w:rsidRDefault="00007FBB">
      <w:pPr>
        <w:pStyle w:val="13"/>
        <w:ind w:firstLine="740"/>
      </w:pPr>
      <w:r>
        <w:rPr>
          <w:color w:val="000000"/>
        </w:rPr>
        <w:t xml:space="preserve">Алименты, взыскиваемые по решению суда, должны уплачиваться ежемесячно. Следовательно, неустойку за их неуплату необходимо определять по каждому просроченному месячному платежу исходя из суммы этого платежа и количества дней его просрочки, определяемого на день вынесения решения суда о </w:t>
      </w:r>
      <w:r>
        <w:rPr>
          <w:color w:val="000000"/>
        </w:rPr>
        <w:lastRenderedPageBreak/>
        <w:t>взыскании неустойки. При этом, если алименты не индексировались, следует исходить из того размера алиментов, в котором должник должен был уплачивать алименты с учетом индексации.</w:t>
      </w:r>
    </w:p>
    <w:p w14:paraId="2CE7D5C2" w14:textId="77777777" w:rsidR="007E761D" w:rsidRDefault="00007FBB">
      <w:pPr>
        <w:pStyle w:val="13"/>
        <w:ind w:firstLine="0"/>
      </w:pPr>
      <w:r>
        <w:rPr>
          <w:color w:val="000000"/>
        </w:rPr>
        <w:t xml:space="preserve">Неустойка нередко исчисляется путем умножения общей суммы алиментной задолженности на установленный размер неустойки и на общее количество дней просрочки. В этом случае сумма неустойки, как правило, превышает сумму долга по алиментам, на которую начисляется неустойка. Однако производить расчет таким образом неправильно (п. 64 Постановления Пленума Верховного Суда РФ </w:t>
      </w:r>
      <w:r>
        <w:rPr>
          <w:color w:val="000000"/>
          <w:lang w:val="en-US" w:eastAsia="en-US" w:bidi="en-US"/>
        </w:rPr>
        <w:t>N</w:t>
      </w:r>
      <w:r w:rsidRPr="007A5842">
        <w:rPr>
          <w:color w:val="000000"/>
          <w:lang w:eastAsia="en-US" w:bidi="en-US"/>
        </w:rPr>
        <w:t xml:space="preserve"> </w:t>
      </w:r>
      <w:r>
        <w:rPr>
          <w:color w:val="000000"/>
        </w:rPr>
        <w:t>56; разд. X Обзора, утв. Президиумом Верховного Суда РФ 13.05.2015).</w:t>
      </w:r>
    </w:p>
    <w:p w14:paraId="55002D2C" w14:textId="77777777" w:rsidR="007E761D" w:rsidRDefault="00007FBB">
      <w:pPr>
        <w:pStyle w:val="13"/>
        <w:spacing w:after="300"/>
        <w:ind w:firstLine="0"/>
      </w:pPr>
      <w:r>
        <w:rPr>
          <w:color w:val="000000"/>
        </w:rPr>
        <w:t xml:space="preserve">По заявлению стороны в споре суд может применить исковую давность и отказать в удовлетворении иска (полностью или в части) о взыскании неустойки по мотиву пропуска срока исковой давности, исчисляемого отдельно по каждому просроченному месячному платежу (ст. 4 СК РФ; ст. ст. 196,199,208 ГК РФ; п. 65 Постановления Пленума Верховного Суда РФ </w:t>
      </w:r>
      <w:r>
        <w:rPr>
          <w:color w:val="000000"/>
          <w:lang w:val="en-US" w:eastAsia="en-US" w:bidi="en-US"/>
        </w:rPr>
        <w:t>N</w:t>
      </w:r>
      <w:r w:rsidRPr="007A5842">
        <w:rPr>
          <w:color w:val="000000"/>
          <w:lang w:eastAsia="en-US" w:bidi="en-US"/>
        </w:rPr>
        <w:t xml:space="preserve"> </w:t>
      </w:r>
      <w:r>
        <w:rPr>
          <w:color w:val="000000"/>
        </w:rPr>
        <w:t>56). Неустойка по алиментам определяется по формуле:</w:t>
      </w:r>
    </w:p>
    <w:p w14:paraId="02D1C595" w14:textId="77777777" w:rsidR="007E761D" w:rsidRDefault="00007FBB">
      <w:pPr>
        <w:pStyle w:val="13"/>
        <w:spacing w:after="300" w:line="259" w:lineRule="auto"/>
        <w:ind w:firstLine="0"/>
      </w:pPr>
      <w:r>
        <w:rPr>
          <w:color w:val="000000"/>
        </w:rPr>
        <w:t>Н = А х 0,1% х Кд,</w:t>
      </w:r>
    </w:p>
    <w:p w14:paraId="44959B61" w14:textId="77777777" w:rsidR="007E761D" w:rsidRDefault="00007FBB">
      <w:pPr>
        <w:pStyle w:val="13"/>
        <w:spacing w:line="259" w:lineRule="auto"/>
        <w:ind w:firstLine="0"/>
      </w:pPr>
      <w:r>
        <w:rPr>
          <w:color w:val="000000"/>
        </w:rPr>
        <w:t>где: Н - сумма неустойки за каждый месяц просрочки,</w:t>
      </w:r>
    </w:p>
    <w:p w14:paraId="3A769F33" w14:textId="77777777" w:rsidR="007E761D" w:rsidRDefault="00007FBB">
      <w:pPr>
        <w:pStyle w:val="13"/>
        <w:spacing w:line="259" w:lineRule="auto"/>
        <w:ind w:firstLine="0"/>
      </w:pPr>
      <w:r>
        <w:rPr>
          <w:color w:val="000000"/>
        </w:rPr>
        <w:t>А - сумма задолженности по алиментам на конец месяца, Кд - количество дней просрочки.</w:t>
      </w:r>
    </w:p>
    <w:p w14:paraId="73C63287" w14:textId="77777777" w:rsidR="007E761D" w:rsidRDefault="00007FBB">
      <w:pPr>
        <w:pStyle w:val="13"/>
        <w:spacing w:line="259" w:lineRule="auto"/>
        <w:ind w:firstLine="0"/>
      </w:pPr>
      <w:r>
        <w:rPr>
          <w:color w:val="000000"/>
        </w:rPr>
        <w:t>Сумма неустойки за весь период просрочки определяется путем сложения сумм неустойки за каждый месяц просрочки.</w:t>
      </w:r>
    </w:p>
    <w:p w14:paraId="158D5E6E" w14:textId="77777777" w:rsidR="007E761D" w:rsidRDefault="00007FBB">
      <w:pPr>
        <w:pStyle w:val="13"/>
        <w:spacing w:after="300" w:line="259" w:lineRule="auto"/>
        <w:ind w:firstLine="0"/>
      </w:pPr>
      <w:r>
        <w:rPr>
          <w:color w:val="000000"/>
        </w:rPr>
        <w:t xml:space="preserve">Размер задолженности по алиментам определяется судебным приставом- исполнителем. Задолженность по алиментам, уплачиваемым на несовершеннолетних детей в долях к заработку должника, определяется исходя из заработка и иного дохода должника за период, в течение которого алименты не взыскивались. Если должник в этот период не работал либо не были представлены документы о его доходах за этот период, то задолженность по алиментам определяется исходя из размера средней заработной платы в РФ на момент взыскания задолженности (п. п. 3, 4 ст. ИЗ СК РФ; ч. 2, 3 ст. 102 Закона от 02.10.2007 </w:t>
      </w:r>
      <w:r>
        <w:rPr>
          <w:color w:val="000000"/>
          <w:lang w:val="en-US" w:eastAsia="en-US" w:bidi="en-US"/>
        </w:rPr>
        <w:t>N</w:t>
      </w:r>
      <w:r w:rsidRPr="00FF7D16">
        <w:rPr>
          <w:color w:val="000000"/>
          <w:lang w:eastAsia="en-US" w:bidi="en-US"/>
        </w:rPr>
        <w:t xml:space="preserve"> </w:t>
      </w:r>
      <w:r>
        <w:rPr>
          <w:color w:val="000000"/>
        </w:rPr>
        <w:t>229-ФЗ).</w:t>
      </w:r>
    </w:p>
    <w:p w14:paraId="6B6C5F53" w14:textId="77777777" w:rsidR="007E761D" w:rsidRDefault="00007FBB" w:rsidP="007A5842">
      <w:pPr>
        <w:pStyle w:val="1"/>
      </w:pPr>
      <w:bookmarkStart w:id="4" w:name="bookmark13"/>
      <w:r>
        <w:t>За непредоставление отпуска предусмотрена административная ответственность</w:t>
      </w:r>
      <w:bookmarkEnd w:id="4"/>
    </w:p>
    <w:p w14:paraId="3791EA4A" w14:textId="77777777" w:rsidR="007E761D" w:rsidRDefault="00007FBB">
      <w:pPr>
        <w:pStyle w:val="13"/>
        <w:spacing w:line="259" w:lineRule="auto"/>
        <w:ind w:firstLine="740"/>
      </w:pPr>
      <w:r>
        <w:rPr>
          <w:color w:val="000000"/>
        </w:rPr>
        <w:t>За непредоставление отпуска, который полагается работнику по закону, предусмотрена материальная ответственность в виде денежной компенсации морального вреда работнику и (или) административная ответственность, например в виде штрафа, который для организации может достигать 70 000 руб. Ответственность в этом случае несете, только если виноваты в непредоставлении работнику отпуска (ч. 1 ст. 1.5 КоАП РФ, ч. 1 ст. 233, ч. 1 ст. 237 ТК РФ). Например, если вы не предоставите работнику ежегодный отпуск в течение двух лет подряд, чем нарушите ч. 4 ст. 124 ТК РФ, или в нарушение ч. 2 ст. 128 ТК РФ откажете инвалиду в 60 календарных днях отпуска за свой счет.</w:t>
      </w:r>
    </w:p>
    <w:p w14:paraId="73D5EB87" w14:textId="77777777" w:rsidR="007E761D" w:rsidRDefault="00007FBB">
      <w:pPr>
        <w:pStyle w:val="13"/>
        <w:spacing w:line="259" w:lineRule="auto"/>
        <w:ind w:firstLine="700"/>
      </w:pPr>
      <w:r>
        <w:rPr>
          <w:b/>
          <w:bCs/>
          <w:color w:val="000000"/>
        </w:rPr>
        <w:t xml:space="preserve">Административная ответственность </w:t>
      </w:r>
      <w:r>
        <w:rPr>
          <w:color w:val="000000"/>
        </w:rPr>
        <w:t xml:space="preserve">за непредоставление отпуска, если это нарушение совершено впервые, предусмотрена ч. 1 ст. 5.27 КоАП РФ в виде предупреждения, штрафа. За повторное нарушение - ответственность по ч. 2 ст. 5.27 </w:t>
      </w:r>
      <w:r>
        <w:rPr>
          <w:color w:val="000000"/>
        </w:rPr>
        <w:lastRenderedPageBreak/>
        <w:t>КоАП РФ в виде штрафа, дисквалификации должностного лица на срок от года до трех лет.</w:t>
      </w:r>
    </w:p>
    <w:p w14:paraId="70B9814B" w14:textId="77777777" w:rsidR="007E761D" w:rsidRDefault="00007FBB">
      <w:pPr>
        <w:pStyle w:val="13"/>
        <w:spacing w:line="259" w:lineRule="auto"/>
        <w:ind w:firstLine="700"/>
      </w:pPr>
      <w:r>
        <w:rPr>
          <w:b/>
          <w:bCs/>
          <w:color w:val="000000"/>
        </w:rPr>
        <w:t xml:space="preserve">Штраф за непредоставление отпуска </w:t>
      </w:r>
      <w:r>
        <w:rPr>
          <w:color w:val="000000"/>
        </w:rPr>
        <w:t>могут назначить, если такое нарушение совершено впервые, по ч. 1 ст. 5.27 КоАП РФ. Тогда его размер может составить для должностного лица от 1 000 до 5 000 руб., а для организации - от 30 000 до 50 000 руб. За повторное аналогичное нарушение штраф предусмотрен ч. 2 ст. 5.27 КоАП РФ, и он уже может составить от 10 ООО до 20 000 руб. для должностного лица, а для организации от 50 000 до 70 000 руб.</w:t>
      </w:r>
    </w:p>
    <w:p w14:paraId="17A1FFC7" w14:textId="77777777" w:rsidR="007E761D" w:rsidRDefault="00007FBB">
      <w:pPr>
        <w:pStyle w:val="13"/>
        <w:spacing w:after="320" w:line="259" w:lineRule="auto"/>
        <w:ind w:firstLine="700"/>
      </w:pPr>
      <w:r>
        <w:rPr>
          <w:b/>
          <w:bCs/>
          <w:color w:val="000000"/>
        </w:rPr>
        <w:t xml:space="preserve">Размер денежной компенсации морального вреда </w:t>
      </w:r>
      <w:r>
        <w:rPr>
          <w:color w:val="000000"/>
        </w:rPr>
        <w:t>(если работник о ней заявит) вы определяете по соглашению с работником, а в случае спора - как решит суд (ст. 237 ТК РФ).</w:t>
      </w:r>
    </w:p>
    <w:p w14:paraId="3CDE2D91" w14:textId="77777777" w:rsidR="007E761D" w:rsidRDefault="00007FBB" w:rsidP="007A5842">
      <w:pPr>
        <w:pStyle w:val="1"/>
      </w:pPr>
      <w:bookmarkStart w:id="5" w:name="bookmark15"/>
      <w:r>
        <w:t>Случаи, в которых возможно нарушение неприкосновенности жилища</w:t>
      </w:r>
      <w:bookmarkEnd w:id="5"/>
    </w:p>
    <w:p w14:paraId="3286D6F6" w14:textId="77777777" w:rsidR="007E761D" w:rsidRDefault="00007FBB">
      <w:pPr>
        <w:pStyle w:val="13"/>
        <w:spacing w:line="259" w:lineRule="auto"/>
        <w:ind w:firstLine="700"/>
      </w:pPr>
      <w:r>
        <w:rPr>
          <w:color w:val="000000"/>
        </w:rPr>
        <w:t>Неприкосновенность жилища может быть нарушена в исключительных случаях, в частности:</w:t>
      </w:r>
    </w:p>
    <w:p w14:paraId="79F1798D" w14:textId="77777777" w:rsidR="007E761D" w:rsidRDefault="00007FBB">
      <w:pPr>
        <w:pStyle w:val="13"/>
        <w:spacing w:line="259" w:lineRule="auto"/>
        <w:ind w:firstLine="700"/>
      </w:pPr>
      <w:r>
        <w:rPr>
          <w:color w:val="000000"/>
        </w:rPr>
        <w:t>для спасения жизни граждан и (или) их имущества;</w:t>
      </w:r>
    </w:p>
    <w:p w14:paraId="3FD0FC6D" w14:textId="77777777" w:rsidR="007E761D" w:rsidRDefault="00007FBB">
      <w:pPr>
        <w:pStyle w:val="13"/>
        <w:spacing w:line="259" w:lineRule="auto"/>
        <w:ind w:firstLine="700"/>
      </w:pPr>
      <w:r>
        <w:rPr>
          <w:color w:val="000000"/>
        </w:rPr>
        <w:t>обеспечения личной безопасности граждан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w:t>
      </w:r>
    </w:p>
    <w:p w14:paraId="4F70B225" w14:textId="77777777" w:rsidR="007E761D" w:rsidRDefault="00007FBB">
      <w:pPr>
        <w:pStyle w:val="13"/>
        <w:spacing w:line="259" w:lineRule="auto"/>
        <w:ind w:firstLine="700"/>
      </w:pPr>
      <w:r>
        <w:rPr>
          <w:color w:val="000000"/>
        </w:rPr>
        <w:t>задержания лиц, подозреваемых или обвиняемых в совершении преступлений, лиц, застигнутых на месте совершения ими деяния, содержащего признаки преступления, и (или) скрывающихся с места совершения ими такого деяния, и (или) лиц, на которых потерпевшие или очевидцы указывают как на совершивших деяние, содержащее признаки преступления;</w:t>
      </w:r>
    </w:p>
    <w:p w14:paraId="316F1966" w14:textId="77777777" w:rsidR="007E761D" w:rsidRDefault="00007FBB">
      <w:pPr>
        <w:pStyle w:val="13"/>
        <w:spacing w:line="259" w:lineRule="auto"/>
        <w:ind w:firstLine="700"/>
      </w:pPr>
      <w:r>
        <w:rPr>
          <w:color w:val="000000"/>
        </w:rPr>
        <w:t>в целях пресечения совершаемых преступлений;</w:t>
      </w:r>
    </w:p>
    <w:p w14:paraId="0E2E1D5F" w14:textId="77777777" w:rsidR="007E761D" w:rsidRDefault="00007FBB">
      <w:pPr>
        <w:pStyle w:val="13"/>
        <w:spacing w:line="259" w:lineRule="auto"/>
        <w:ind w:left="680" w:firstLine="20"/>
      </w:pPr>
      <w:r>
        <w:rPr>
          <w:color w:val="000000"/>
        </w:rPr>
        <w:t>установления обстоятельств совершенного преступления либо произошедшего несчастного случая;</w:t>
      </w:r>
    </w:p>
    <w:p w14:paraId="1A298BA6" w14:textId="77777777" w:rsidR="007E761D" w:rsidRDefault="00007FBB">
      <w:pPr>
        <w:pStyle w:val="13"/>
        <w:spacing w:line="259" w:lineRule="auto"/>
        <w:ind w:left="680" w:firstLine="20"/>
      </w:pPr>
      <w:r>
        <w:rPr>
          <w:color w:val="000000"/>
        </w:rPr>
        <w:t>ликвидации последствий чрезвычайных ситуаций;</w:t>
      </w:r>
    </w:p>
    <w:p w14:paraId="46DF1361" w14:textId="77777777" w:rsidR="007E761D" w:rsidRDefault="00007FBB">
      <w:pPr>
        <w:pStyle w:val="13"/>
        <w:spacing w:line="259" w:lineRule="auto"/>
        <w:ind w:firstLine="680"/>
      </w:pPr>
      <w:r>
        <w:rPr>
          <w:color w:val="000000"/>
        </w:rPr>
        <w:t>совершения исполнительных действий;</w:t>
      </w:r>
    </w:p>
    <w:p w14:paraId="76F7534A" w14:textId="77777777" w:rsidR="007E761D" w:rsidRDefault="00007FBB">
      <w:pPr>
        <w:pStyle w:val="13"/>
        <w:spacing w:line="259" w:lineRule="auto"/>
        <w:ind w:firstLine="680"/>
      </w:pPr>
      <w:r>
        <w:rPr>
          <w:color w:val="000000"/>
        </w:rPr>
        <w:t>осуществления мероприятий по борьбе с терроризмом;</w:t>
      </w:r>
    </w:p>
    <w:p w14:paraId="09434309" w14:textId="77777777" w:rsidR="007E761D" w:rsidRDefault="00007FBB">
      <w:pPr>
        <w:pStyle w:val="13"/>
        <w:spacing w:after="320" w:line="259" w:lineRule="auto"/>
        <w:ind w:firstLine="680"/>
      </w:pPr>
      <w:r>
        <w:rPr>
          <w:color w:val="000000"/>
        </w:rPr>
        <w:t>реализации мер в условиях чрезвычайного и военного положения.</w:t>
      </w:r>
    </w:p>
    <w:p w14:paraId="746F5B33" w14:textId="77777777" w:rsidR="007E761D" w:rsidRDefault="00007FBB" w:rsidP="007A5842">
      <w:pPr>
        <w:pStyle w:val="1"/>
      </w:pPr>
      <w:r>
        <w:t>Досудебный порядок взыскания компенсации морального вреда</w:t>
      </w:r>
    </w:p>
    <w:p w14:paraId="6F0AB6CD" w14:textId="77777777" w:rsidR="007E761D" w:rsidRDefault="00007FBB">
      <w:pPr>
        <w:pStyle w:val="13"/>
        <w:ind w:firstLine="740"/>
      </w:pPr>
      <w:r>
        <w:rPr>
          <w:color w:val="000000"/>
        </w:rPr>
        <w:t>По общему правилу обязательного соблюдения досудебного порядка урегулирования спора по искам о защите прав потребителей не требуется, кроме установленных случаев (например, по спорам в связи с неисполнением или ненадлежащим исполнением оператором связи обязательств, вытекающих из договора об оказании услуг связи).</w:t>
      </w:r>
    </w:p>
    <w:p w14:paraId="0913B94F" w14:textId="77777777" w:rsidR="007E761D" w:rsidRDefault="00007FBB">
      <w:pPr>
        <w:pStyle w:val="13"/>
        <w:ind w:firstLine="740"/>
      </w:pPr>
      <w:r>
        <w:rPr>
          <w:color w:val="000000"/>
        </w:rPr>
        <w:t xml:space="preserve">Для взыскания компенсации морального вреда в досудебном порядке, как правило, продавцу (изготовителю, исполнителю, уполномоченной организации или уполномоченному предпринимателю, импортеру) подается письменная претензия. Она составляется в свободной форме. В отношении отдельных видов услуг </w:t>
      </w:r>
      <w:r>
        <w:rPr>
          <w:color w:val="000000"/>
        </w:rPr>
        <w:lastRenderedPageBreak/>
        <w:t>(например, услуг почтовой связи) могут быть предусмотрены определенные особенности.</w:t>
      </w:r>
    </w:p>
    <w:p w14:paraId="54B8AF4A" w14:textId="77777777" w:rsidR="007E761D" w:rsidRDefault="00007FBB">
      <w:pPr>
        <w:pStyle w:val="13"/>
        <w:ind w:firstLine="740"/>
      </w:pPr>
      <w:r>
        <w:rPr>
          <w:color w:val="000000"/>
        </w:rPr>
        <w:t>В общем случае в претензии следует указать, в частности, следующую информацию:</w:t>
      </w:r>
    </w:p>
    <w:p w14:paraId="4C298E70" w14:textId="77777777" w:rsidR="007E761D" w:rsidRDefault="00007FBB">
      <w:pPr>
        <w:pStyle w:val="13"/>
        <w:ind w:firstLine="740"/>
      </w:pPr>
      <w:r>
        <w:rPr>
          <w:color w:val="000000"/>
        </w:rPr>
        <w:t>1)сведения о получателе претензии: наименование или Ф.И.О. (отчество - при наличии) продавца (изготовителя, исполнителя, уполномоченной организации или уполномоченного предпринимателя, импортера), адрес его места нахождения (жительства);</w:t>
      </w:r>
    </w:p>
    <w:p w14:paraId="714A2F62" w14:textId="77777777" w:rsidR="007E761D" w:rsidRDefault="00007FBB">
      <w:pPr>
        <w:pStyle w:val="13"/>
        <w:ind w:firstLine="740"/>
      </w:pPr>
      <w:r>
        <w:rPr>
          <w:color w:val="000000"/>
        </w:rPr>
        <w:t>2)сведения об отправителе претензии: Ф.И.О. (отчество - при наличии), адрес, номера телефонов, адрес электронной почты и иные контактные данные;</w:t>
      </w:r>
    </w:p>
    <w:p w14:paraId="4608B47E" w14:textId="77777777" w:rsidR="007E761D" w:rsidRDefault="00007FBB">
      <w:pPr>
        <w:pStyle w:val="13"/>
        <w:ind w:firstLine="740"/>
      </w:pPr>
      <w:r>
        <w:rPr>
          <w:color w:val="000000"/>
        </w:rPr>
        <w:t>3)основания предъявления претензии и обстоятельства, на которых вы основываете свои требования;</w:t>
      </w:r>
    </w:p>
    <w:p w14:paraId="57012335" w14:textId="77777777" w:rsidR="007E761D" w:rsidRDefault="00007FBB">
      <w:pPr>
        <w:pStyle w:val="13"/>
        <w:ind w:firstLine="740"/>
      </w:pPr>
      <w:r>
        <w:rPr>
          <w:color w:val="000000"/>
        </w:rPr>
        <w:t>4)требование о компенсации морального вреда с указанием размера компенсации, а также способа ее получения (например, реквизиты банковского счета для перечисления компенсации);</w:t>
      </w:r>
    </w:p>
    <w:p w14:paraId="61B0957F" w14:textId="77777777" w:rsidR="007E761D" w:rsidRDefault="00007FBB">
      <w:pPr>
        <w:pStyle w:val="13"/>
        <w:ind w:firstLine="740"/>
      </w:pPr>
      <w:r>
        <w:rPr>
          <w:color w:val="000000"/>
        </w:rPr>
        <w:t>5)срок ожидания ответа и способ ответа на претензию (например, по электронной почте), а также указание на намерение обратиться в суд в случае отказа в удовлетворении ваших требований в добровольном порядке;</w:t>
      </w:r>
    </w:p>
    <w:p w14:paraId="4E6422E5" w14:textId="77777777" w:rsidR="007E761D" w:rsidRDefault="00007FBB">
      <w:pPr>
        <w:pStyle w:val="13"/>
        <w:ind w:firstLine="740"/>
      </w:pPr>
      <w:r>
        <w:rPr>
          <w:color w:val="000000"/>
        </w:rPr>
        <w:t>6)перечень документов, прилагаемых к претензии в подтверждение ваших требований;</w:t>
      </w:r>
    </w:p>
    <w:p w14:paraId="729B8B66" w14:textId="77777777" w:rsidR="007E761D" w:rsidRDefault="00007FBB">
      <w:pPr>
        <w:pStyle w:val="13"/>
        <w:ind w:firstLine="740"/>
      </w:pPr>
      <w:r>
        <w:rPr>
          <w:color w:val="000000"/>
        </w:rPr>
        <w:t>7)дату и подпись отправителя претензии.</w:t>
      </w:r>
    </w:p>
    <w:p w14:paraId="543FAA96" w14:textId="77777777" w:rsidR="007E761D" w:rsidRDefault="00007FBB">
      <w:pPr>
        <w:pStyle w:val="13"/>
        <w:ind w:firstLine="740"/>
      </w:pPr>
      <w:r>
        <w:rPr>
          <w:color w:val="000000"/>
        </w:rPr>
        <w:t>Если иное не установлено договором, претензия может быть представлена причинителю вреда следующим образом: передана лично.</w:t>
      </w:r>
    </w:p>
    <w:p w14:paraId="298010F0" w14:textId="77777777" w:rsidR="007E761D" w:rsidRDefault="00007FBB">
      <w:pPr>
        <w:pStyle w:val="13"/>
        <w:ind w:firstLine="740"/>
      </w:pPr>
      <w:r>
        <w:rPr>
          <w:color w:val="000000"/>
        </w:rPr>
        <w:t>Рекомендуем изготовить два экземпляра претензии. Желательно, чтобы на одном из них лицо, принявшее претензию, проставило свою подпись с указанием Ф.И.О. и должности, а также дату принятия претензии и (при наличии) печать;</w:t>
      </w:r>
    </w:p>
    <w:p w14:paraId="311695DD" w14:textId="77777777" w:rsidR="007E761D" w:rsidRDefault="00007FBB">
      <w:pPr>
        <w:pStyle w:val="13"/>
        <w:ind w:firstLine="740"/>
      </w:pPr>
      <w:r>
        <w:rPr>
          <w:color w:val="000000"/>
        </w:rPr>
        <w:t>направлена по почте или с помощью иных служб доставки либо в электронной форме. Направление претензии в форме электронного документа возможно, например, посредством электронной почты, факсимильной и иной связи. Однако в этом случае должна иметься возможность достоверно установить, от кого она исходит и кому адресована.</w:t>
      </w:r>
    </w:p>
    <w:p w14:paraId="4A800E7C" w14:textId="77777777" w:rsidR="007E761D" w:rsidRDefault="00007FBB">
      <w:pPr>
        <w:pStyle w:val="13"/>
        <w:ind w:firstLine="740"/>
      </w:pPr>
      <w:r>
        <w:rPr>
          <w:color w:val="000000"/>
        </w:rPr>
        <w:t>Отметим, что срок рассмотрения претензии может зависеть от категории спора.</w:t>
      </w:r>
    </w:p>
    <w:sectPr w:rsidR="007E761D" w:rsidSect="00FF7D16">
      <w:pgSz w:w="11900" w:h="16840"/>
      <w:pgMar w:top="284" w:right="829" w:bottom="568" w:left="829" w:header="506" w:footer="758" w:gutter="748"/>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A274" w14:textId="77777777" w:rsidR="00F90175" w:rsidRDefault="00F90175">
      <w:pPr>
        <w:spacing w:after="0" w:line="240" w:lineRule="auto"/>
      </w:pPr>
      <w:r>
        <w:separator/>
      </w:r>
    </w:p>
  </w:endnote>
  <w:endnote w:type="continuationSeparator" w:id="0">
    <w:p w14:paraId="1AF1531C" w14:textId="77777777" w:rsidR="00F90175" w:rsidRDefault="00F9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5406" w14:textId="77777777" w:rsidR="00F90175" w:rsidRDefault="00F90175"/>
  </w:footnote>
  <w:footnote w:type="continuationSeparator" w:id="0">
    <w:p w14:paraId="2C967524" w14:textId="77777777" w:rsidR="00F90175" w:rsidRDefault="00F901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141A"/>
    <w:multiLevelType w:val="multilevel"/>
    <w:tmpl w:val="CF06B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1D"/>
    <w:rsid w:val="00007FBB"/>
    <w:rsid w:val="00574118"/>
    <w:rsid w:val="007A5842"/>
    <w:rsid w:val="007E761D"/>
    <w:rsid w:val="00F90175"/>
    <w:rsid w:val="00FF7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F12B"/>
  <w15:docId w15:val="{956E3AF8-E85D-4C84-9272-4E51F179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ru-RU"/>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842"/>
  </w:style>
  <w:style w:type="paragraph" w:styleId="1">
    <w:name w:val="heading 1"/>
    <w:basedOn w:val="a"/>
    <w:next w:val="a"/>
    <w:link w:val="10"/>
    <w:uiPriority w:val="9"/>
    <w:qFormat/>
    <w:rsid w:val="007A584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7A584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7A584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7A584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7A584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7A584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7A5842"/>
    <w:pPr>
      <w:keepNext/>
      <w:keepLines/>
      <w:spacing w:before="120" w:after="0"/>
      <w:outlineLvl w:val="6"/>
    </w:pPr>
    <w:rPr>
      <w:i/>
      <w:iCs/>
    </w:rPr>
  </w:style>
  <w:style w:type="paragraph" w:styleId="8">
    <w:name w:val="heading 8"/>
    <w:basedOn w:val="a"/>
    <w:next w:val="a"/>
    <w:link w:val="80"/>
    <w:uiPriority w:val="9"/>
    <w:semiHidden/>
    <w:unhideWhenUsed/>
    <w:qFormat/>
    <w:rsid w:val="007A5842"/>
    <w:pPr>
      <w:keepNext/>
      <w:keepLines/>
      <w:spacing w:before="120" w:after="0"/>
      <w:outlineLvl w:val="7"/>
    </w:pPr>
    <w:rPr>
      <w:b/>
      <w:bCs/>
    </w:rPr>
  </w:style>
  <w:style w:type="paragraph" w:styleId="9">
    <w:name w:val="heading 9"/>
    <w:basedOn w:val="a"/>
    <w:next w:val="a"/>
    <w:link w:val="90"/>
    <w:uiPriority w:val="9"/>
    <w:semiHidden/>
    <w:unhideWhenUsed/>
    <w:qFormat/>
    <w:rsid w:val="007A584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6"/>
      <w:szCs w:val="26"/>
      <w:u w:val="none"/>
    </w:rPr>
  </w:style>
  <w:style w:type="character" w:customStyle="1" w:styleId="a3">
    <w:name w:val="Основной текст_"/>
    <w:basedOn w:val="a0"/>
    <w:link w:val="13"/>
    <w:rPr>
      <w:rFonts w:ascii="Times New Roman" w:eastAsia="Times New Roman" w:hAnsi="Times New Roman" w:cs="Times New Roman"/>
      <w:b w:val="0"/>
      <w:bCs w:val="0"/>
      <w:i w:val="0"/>
      <w:iCs w:val="0"/>
      <w:smallCaps w:val="0"/>
      <w:strike w:val="0"/>
      <w:sz w:val="26"/>
      <w:szCs w:val="26"/>
      <w:u w:val="none"/>
    </w:rPr>
  </w:style>
  <w:style w:type="paragraph" w:customStyle="1" w:styleId="12">
    <w:name w:val="Заголовок №1"/>
    <w:basedOn w:val="a"/>
    <w:link w:val="11"/>
    <w:pPr>
      <w:widowControl w:val="0"/>
      <w:spacing w:after="200" w:line="254" w:lineRule="auto"/>
      <w:outlineLvl w:val="0"/>
    </w:pPr>
    <w:rPr>
      <w:rFonts w:ascii="Times New Roman" w:eastAsia="Times New Roman" w:hAnsi="Times New Roman" w:cs="Times New Roman"/>
      <w:b/>
      <w:bCs/>
      <w:sz w:val="26"/>
      <w:szCs w:val="26"/>
    </w:rPr>
  </w:style>
  <w:style w:type="paragraph" w:customStyle="1" w:styleId="13">
    <w:name w:val="Основной текст1"/>
    <w:basedOn w:val="a"/>
    <w:link w:val="a3"/>
    <w:pPr>
      <w:widowControl w:val="0"/>
      <w:spacing w:line="257" w:lineRule="auto"/>
      <w:ind w:firstLine="400"/>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7A5842"/>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7A5842"/>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7A5842"/>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7A5842"/>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7A5842"/>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7A5842"/>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7A5842"/>
    <w:rPr>
      <w:i/>
      <w:iCs/>
    </w:rPr>
  </w:style>
  <w:style w:type="character" w:customStyle="1" w:styleId="80">
    <w:name w:val="Заголовок 8 Знак"/>
    <w:basedOn w:val="a0"/>
    <w:link w:val="8"/>
    <w:uiPriority w:val="9"/>
    <w:semiHidden/>
    <w:rsid w:val="007A5842"/>
    <w:rPr>
      <w:b/>
      <w:bCs/>
    </w:rPr>
  </w:style>
  <w:style w:type="character" w:customStyle="1" w:styleId="90">
    <w:name w:val="Заголовок 9 Знак"/>
    <w:basedOn w:val="a0"/>
    <w:link w:val="9"/>
    <w:uiPriority w:val="9"/>
    <w:semiHidden/>
    <w:rsid w:val="007A5842"/>
    <w:rPr>
      <w:i/>
      <w:iCs/>
    </w:rPr>
  </w:style>
  <w:style w:type="paragraph" w:styleId="a4">
    <w:name w:val="caption"/>
    <w:basedOn w:val="a"/>
    <w:next w:val="a"/>
    <w:uiPriority w:val="35"/>
    <w:semiHidden/>
    <w:unhideWhenUsed/>
    <w:qFormat/>
    <w:rsid w:val="007A5842"/>
    <w:rPr>
      <w:b/>
      <w:bCs/>
      <w:sz w:val="18"/>
      <w:szCs w:val="18"/>
    </w:rPr>
  </w:style>
  <w:style w:type="paragraph" w:styleId="a5">
    <w:name w:val="Title"/>
    <w:basedOn w:val="a"/>
    <w:next w:val="a"/>
    <w:link w:val="a6"/>
    <w:uiPriority w:val="10"/>
    <w:qFormat/>
    <w:rsid w:val="007A584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6">
    <w:name w:val="Заголовок Знак"/>
    <w:basedOn w:val="a0"/>
    <w:link w:val="a5"/>
    <w:uiPriority w:val="10"/>
    <w:rsid w:val="007A5842"/>
    <w:rPr>
      <w:rFonts w:asciiTheme="majorHAnsi" w:eastAsiaTheme="majorEastAsia" w:hAnsiTheme="majorHAnsi" w:cstheme="majorBidi"/>
      <w:b/>
      <w:bCs/>
      <w:spacing w:val="-7"/>
      <w:sz w:val="48"/>
      <w:szCs w:val="48"/>
    </w:rPr>
  </w:style>
  <w:style w:type="paragraph" w:styleId="a7">
    <w:name w:val="Subtitle"/>
    <w:basedOn w:val="a"/>
    <w:next w:val="a"/>
    <w:link w:val="a8"/>
    <w:uiPriority w:val="11"/>
    <w:qFormat/>
    <w:rsid w:val="007A5842"/>
    <w:pPr>
      <w:numPr>
        <w:ilvl w:val="1"/>
      </w:numPr>
      <w:spacing w:after="240"/>
      <w:jc w:val="center"/>
    </w:pPr>
    <w:rPr>
      <w:rFonts w:asciiTheme="majorHAnsi" w:eastAsiaTheme="majorEastAsia" w:hAnsiTheme="majorHAnsi" w:cstheme="majorBidi"/>
      <w:sz w:val="24"/>
      <w:szCs w:val="24"/>
    </w:rPr>
  </w:style>
  <w:style w:type="character" w:customStyle="1" w:styleId="a8">
    <w:name w:val="Подзаголовок Знак"/>
    <w:basedOn w:val="a0"/>
    <w:link w:val="a7"/>
    <w:uiPriority w:val="11"/>
    <w:rsid w:val="007A5842"/>
    <w:rPr>
      <w:rFonts w:asciiTheme="majorHAnsi" w:eastAsiaTheme="majorEastAsia" w:hAnsiTheme="majorHAnsi" w:cstheme="majorBidi"/>
      <w:sz w:val="24"/>
      <w:szCs w:val="24"/>
    </w:rPr>
  </w:style>
  <w:style w:type="character" w:styleId="a9">
    <w:name w:val="Strong"/>
    <w:basedOn w:val="a0"/>
    <w:uiPriority w:val="22"/>
    <w:qFormat/>
    <w:rsid w:val="007A5842"/>
    <w:rPr>
      <w:b/>
      <w:bCs/>
      <w:color w:val="auto"/>
    </w:rPr>
  </w:style>
  <w:style w:type="character" w:styleId="aa">
    <w:name w:val="Emphasis"/>
    <w:basedOn w:val="a0"/>
    <w:uiPriority w:val="20"/>
    <w:qFormat/>
    <w:rsid w:val="007A5842"/>
    <w:rPr>
      <w:i/>
      <w:iCs/>
      <w:color w:val="auto"/>
    </w:rPr>
  </w:style>
  <w:style w:type="paragraph" w:styleId="ab">
    <w:name w:val="No Spacing"/>
    <w:uiPriority w:val="1"/>
    <w:qFormat/>
    <w:rsid w:val="007A5842"/>
    <w:pPr>
      <w:spacing w:after="0" w:line="240" w:lineRule="auto"/>
    </w:pPr>
  </w:style>
  <w:style w:type="paragraph" w:styleId="21">
    <w:name w:val="Quote"/>
    <w:basedOn w:val="a"/>
    <w:next w:val="a"/>
    <w:link w:val="22"/>
    <w:uiPriority w:val="29"/>
    <w:qFormat/>
    <w:rsid w:val="007A584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7A5842"/>
    <w:rPr>
      <w:rFonts w:asciiTheme="majorHAnsi" w:eastAsiaTheme="majorEastAsia" w:hAnsiTheme="majorHAnsi" w:cstheme="majorBidi"/>
      <w:i/>
      <w:iCs/>
      <w:sz w:val="24"/>
      <w:szCs w:val="24"/>
    </w:rPr>
  </w:style>
  <w:style w:type="paragraph" w:styleId="ac">
    <w:name w:val="Intense Quote"/>
    <w:basedOn w:val="a"/>
    <w:next w:val="a"/>
    <w:link w:val="ad"/>
    <w:uiPriority w:val="30"/>
    <w:qFormat/>
    <w:rsid w:val="007A584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d">
    <w:name w:val="Выделенная цитата Знак"/>
    <w:basedOn w:val="a0"/>
    <w:link w:val="ac"/>
    <w:uiPriority w:val="30"/>
    <w:rsid w:val="007A5842"/>
    <w:rPr>
      <w:rFonts w:asciiTheme="majorHAnsi" w:eastAsiaTheme="majorEastAsia" w:hAnsiTheme="majorHAnsi" w:cstheme="majorBidi"/>
      <w:sz w:val="26"/>
      <w:szCs w:val="26"/>
    </w:rPr>
  </w:style>
  <w:style w:type="character" w:styleId="ae">
    <w:name w:val="Subtle Emphasis"/>
    <w:basedOn w:val="a0"/>
    <w:uiPriority w:val="19"/>
    <w:qFormat/>
    <w:rsid w:val="007A5842"/>
    <w:rPr>
      <w:i/>
      <w:iCs/>
      <w:color w:val="auto"/>
    </w:rPr>
  </w:style>
  <w:style w:type="character" w:styleId="af">
    <w:name w:val="Intense Emphasis"/>
    <w:basedOn w:val="a0"/>
    <w:uiPriority w:val="21"/>
    <w:qFormat/>
    <w:rsid w:val="007A5842"/>
    <w:rPr>
      <w:b/>
      <w:bCs/>
      <w:i/>
      <w:iCs/>
      <w:color w:val="auto"/>
    </w:rPr>
  </w:style>
  <w:style w:type="character" w:styleId="af0">
    <w:name w:val="Subtle Reference"/>
    <w:basedOn w:val="a0"/>
    <w:uiPriority w:val="31"/>
    <w:qFormat/>
    <w:rsid w:val="007A5842"/>
    <w:rPr>
      <w:smallCaps/>
      <w:color w:val="auto"/>
      <w:u w:val="single" w:color="7F7F7F" w:themeColor="text1" w:themeTint="80"/>
    </w:rPr>
  </w:style>
  <w:style w:type="character" w:styleId="af1">
    <w:name w:val="Intense Reference"/>
    <w:basedOn w:val="a0"/>
    <w:uiPriority w:val="32"/>
    <w:qFormat/>
    <w:rsid w:val="007A5842"/>
    <w:rPr>
      <w:b/>
      <w:bCs/>
      <w:smallCaps/>
      <w:color w:val="auto"/>
      <w:u w:val="single"/>
    </w:rPr>
  </w:style>
  <w:style w:type="character" w:styleId="af2">
    <w:name w:val="Book Title"/>
    <w:basedOn w:val="a0"/>
    <w:uiPriority w:val="33"/>
    <w:qFormat/>
    <w:rsid w:val="007A5842"/>
    <w:rPr>
      <w:b/>
      <w:bCs/>
      <w:smallCaps/>
      <w:color w:val="auto"/>
    </w:rPr>
  </w:style>
  <w:style w:type="paragraph" w:styleId="af3">
    <w:name w:val="TOC Heading"/>
    <w:basedOn w:val="1"/>
    <w:next w:val="a"/>
    <w:uiPriority w:val="39"/>
    <w:semiHidden/>
    <w:unhideWhenUsed/>
    <w:qFormat/>
    <w:rsid w:val="007A58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2287</Words>
  <Characters>13042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Розалия</cp:lastModifiedBy>
  <cp:revision>4</cp:revision>
  <dcterms:created xsi:type="dcterms:W3CDTF">2022-07-05T08:09:00Z</dcterms:created>
  <dcterms:modified xsi:type="dcterms:W3CDTF">2022-07-07T10:48:00Z</dcterms:modified>
</cp:coreProperties>
</file>